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exact"/>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中国新闻奖组织报送参评作品推荐表</w:t>
      </w:r>
    </w:p>
    <w:tbl>
      <w:tblPr>
        <w:tblStyle w:val="2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7"/>
        <w:gridCol w:w="450"/>
        <w:gridCol w:w="2101"/>
        <w:gridCol w:w="942"/>
        <w:gridCol w:w="192"/>
        <w:gridCol w:w="992"/>
        <w:gridCol w:w="216"/>
        <w:gridCol w:w="777"/>
        <w:gridCol w:w="42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51" w:type="dxa"/>
            <w:gridSpan w:val="3"/>
            <w:vMerge w:val="restart"/>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作品标题</w:t>
            </w:r>
          </w:p>
        </w:tc>
        <w:tc>
          <w:tcPr>
            <w:tcW w:w="4443" w:type="dxa"/>
            <w:gridSpan w:val="5"/>
            <w:vMerge w:val="restart"/>
            <w:tcBorders>
              <w:top w:val="single" w:color="auto" w:sz="4" w:space="0"/>
              <w:left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p>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“僵尸企业”重生记</w:t>
            </w:r>
          </w:p>
          <w:p>
            <w:pPr>
              <w:spacing w:line="380" w:lineRule="exact"/>
              <w:jc w:val="center"/>
              <w:rPr>
                <w:rFonts w:hint="eastAsia" w:asciiTheme="minorEastAsia" w:hAnsiTheme="minorEastAsia" w:eastAsiaTheme="minorEastAsia" w:cstheme="minorEastAsia"/>
                <w:b/>
                <w:bCs/>
                <w:sz w:val="21"/>
                <w:szCs w:val="21"/>
              </w:rPr>
            </w:pPr>
          </w:p>
        </w:tc>
        <w:tc>
          <w:tcPr>
            <w:tcW w:w="1202" w:type="dxa"/>
            <w:gridSpan w:val="2"/>
            <w:tcBorders>
              <w:top w:val="single" w:color="auto" w:sz="4" w:space="0"/>
              <w:left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参评项目</w:t>
            </w:r>
          </w:p>
        </w:tc>
        <w:tc>
          <w:tcPr>
            <w:tcW w:w="2551"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电视专题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trPr>
        <w:tc>
          <w:tcPr>
            <w:tcW w:w="1551" w:type="dxa"/>
            <w:gridSpan w:val="3"/>
            <w:vMerge w:val="continue"/>
            <w:vAlign w:val="center"/>
          </w:tcPr>
          <w:p>
            <w:pPr>
              <w:spacing w:line="380" w:lineRule="exact"/>
              <w:jc w:val="center"/>
              <w:rPr>
                <w:rFonts w:hint="eastAsia" w:asciiTheme="minorEastAsia" w:hAnsiTheme="minorEastAsia" w:eastAsiaTheme="minorEastAsia" w:cstheme="minorEastAsia"/>
                <w:b/>
                <w:bCs/>
                <w:sz w:val="21"/>
                <w:szCs w:val="21"/>
              </w:rPr>
            </w:pPr>
          </w:p>
        </w:tc>
        <w:tc>
          <w:tcPr>
            <w:tcW w:w="4443" w:type="dxa"/>
            <w:gridSpan w:val="5"/>
            <w:vMerge w:val="continue"/>
            <w:tcBorders>
              <w:top w:val="single" w:color="auto" w:sz="4" w:space="0"/>
              <w:left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p>
        </w:tc>
        <w:tc>
          <w:tcPr>
            <w:tcW w:w="1202" w:type="dxa"/>
            <w:gridSpan w:val="2"/>
            <w:tcBorders>
              <w:top w:val="single" w:color="auto" w:sz="4" w:space="0"/>
              <w:left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体裁</w:t>
            </w:r>
          </w:p>
        </w:tc>
        <w:tc>
          <w:tcPr>
            <w:tcW w:w="2551"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551" w:type="dxa"/>
            <w:gridSpan w:val="3"/>
            <w:vMerge w:val="continue"/>
            <w:vAlign w:val="center"/>
          </w:tcPr>
          <w:p>
            <w:pPr>
              <w:spacing w:line="380" w:lineRule="exact"/>
              <w:jc w:val="center"/>
              <w:rPr>
                <w:rFonts w:hint="eastAsia" w:asciiTheme="minorEastAsia" w:hAnsiTheme="minorEastAsia" w:eastAsiaTheme="minorEastAsia" w:cstheme="minorEastAsia"/>
                <w:b/>
                <w:bCs/>
                <w:sz w:val="21"/>
                <w:szCs w:val="21"/>
              </w:rPr>
            </w:pPr>
          </w:p>
        </w:tc>
        <w:tc>
          <w:tcPr>
            <w:tcW w:w="4443" w:type="dxa"/>
            <w:gridSpan w:val="5"/>
            <w:vMerge w:val="continue"/>
            <w:tcBorders>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p>
        </w:tc>
        <w:tc>
          <w:tcPr>
            <w:tcW w:w="1202" w:type="dxa"/>
            <w:gridSpan w:val="2"/>
            <w:tcBorders>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语种</w:t>
            </w:r>
          </w:p>
        </w:tc>
        <w:tc>
          <w:tcPr>
            <w:tcW w:w="2551" w:type="dxa"/>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1551" w:type="dxa"/>
            <w:gridSpan w:val="3"/>
            <w:vAlign w:val="center"/>
          </w:tcPr>
          <w:p>
            <w:pPr>
              <w:spacing w:line="320" w:lineRule="exact"/>
              <w:jc w:val="center"/>
              <w:rPr>
                <w:rFonts w:hint="eastAsia" w:asciiTheme="minorEastAsia" w:hAnsiTheme="minorEastAsia" w:eastAsiaTheme="minorEastAsia" w:cstheme="minorEastAsia"/>
                <w:b/>
                <w:bCs/>
                <w:spacing w:val="-12"/>
                <w:sz w:val="21"/>
                <w:szCs w:val="21"/>
              </w:rPr>
            </w:pPr>
            <w:r>
              <w:rPr>
                <w:rFonts w:hint="eastAsia" w:asciiTheme="minorEastAsia" w:hAnsiTheme="minorEastAsia" w:eastAsiaTheme="minorEastAsia" w:cstheme="minorEastAsia"/>
                <w:b/>
                <w:bCs/>
                <w:spacing w:val="-12"/>
                <w:sz w:val="21"/>
                <w:szCs w:val="21"/>
              </w:rPr>
              <w:t>作  者</w:t>
            </w:r>
          </w:p>
          <w:p>
            <w:pPr>
              <w:spacing w:line="320" w:lineRule="exact"/>
              <w:jc w:val="center"/>
              <w:rPr>
                <w:rFonts w:hint="eastAsia" w:asciiTheme="minorEastAsia" w:hAnsiTheme="minorEastAsia" w:eastAsiaTheme="minorEastAsia" w:cstheme="minorEastAsia"/>
                <w:b/>
                <w:bCs/>
                <w:spacing w:val="-12"/>
                <w:sz w:val="21"/>
                <w:szCs w:val="21"/>
              </w:rPr>
            </w:pPr>
            <w:r>
              <w:rPr>
                <w:rFonts w:hint="eastAsia" w:asciiTheme="minorEastAsia" w:hAnsiTheme="minorEastAsia" w:eastAsiaTheme="minorEastAsia" w:cstheme="minorEastAsia"/>
                <w:b/>
                <w:bCs/>
                <w:spacing w:val="-12"/>
                <w:sz w:val="21"/>
                <w:szCs w:val="21"/>
              </w:rPr>
              <w:t>（主创人员）</w:t>
            </w:r>
          </w:p>
        </w:tc>
        <w:tc>
          <w:tcPr>
            <w:tcW w:w="304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陈琛</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伊力</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唐虎</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郑欣</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徐奇</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编辑</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b/>
                <w:bCs/>
                <w:color w:val="80808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trPr>
        <w:tc>
          <w:tcPr>
            <w:tcW w:w="1551" w:type="dxa"/>
            <w:gridSpan w:val="3"/>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刊播单位</w:t>
            </w:r>
          </w:p>
        </w:tc>
        <w:tc>
          <w:tcPr>
            <w:tcW w:w="304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山东广播电视台</w:t>
            </w:r>
          </w:p>
          <w:p>
            <w:pPr>
              <w:jc w:val="center"/>
              <w:rPr>
                <w:rFonts w:hint="eastAsia" w:asciiTheme="minorEastAsia" w:hAnsiTheme="minorEastAsia" w:eastAsiaTheme="minorEastAsia" w:cstheme="minorEastAsia"/>
                <w:b/>
                <w:bCs/>
                <w:sz w:val="21"/>
                <w:szCs w:val="21"/>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首发日期</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2016年12 月31日18时45分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exact"/>
        </w:trPr>
        <w:tc>
          <w:tcPr>
            <w:tcW w:w="1551" w:type="dxa"/>
            <w:gridSpan w:val="3"/>
            <w:vAlign w:val="center"/>
          </w:tcPr>
          <w:p>
            <w:pPr>
              <w:spacing w:line="34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刊播版面</w:t>
            </w:r>
            <w:r>
              <w:rPr>
                <w:rFonts w:hint="eastAsia" w:asciiTheme="minorEastAsia" w:hAnsiTheme="minorEastAsia" w:eastAsiaTheme="minorEastAsia" w:cstheme="minorEastAsia"/>
                <w:b/>
                <w:bCs/>
                <w:spacing w:val="-12"/>
                <w:sz w:val="21"/>
                <w:szCs w:val="21"/>
              </w:rPr>
              <w:t>(名称和版次)</w:t>
            </w:r>
          </w:p>
        </w:tc>
        <w:tc>
          <w:tcPr>
            <w:tcW w:w="304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山东广播电视台电视</w:t>
            </w:r>
          </w:p>
          <w:p>
            <w:pPr>
              <w:spacing w:line="380" w:lineRule="exact"/>
              <w:jc w:val="center"/>
              <w:rPr>
                <w:rFonts w:hint="eastAsia" w:asciiTheme="minorEastAsia" w:hAnsiTheme="minorEastAsia" w:eastAsiaTheme="minorEastAsia" w:cstheme="minorEastAsia"/>
                <w:b/>
                <w:bCs/>
                <w:color w:val="808080"/>
                <w:sz w:val="21"/>
                <w:szCs w:val="21"/>
              </w:rPr>
            </w:pPr>
            <w:r>
              <w:rPr>
                <w:rFonts w:hint="eastAsia" w:asciiTheme="minorEastAsia" w:hAnsiTheme="minorEastAsia" w:eastAsiaTheme="minorEastAsia" w:cstheme="minorEastAsia"/>
                <w:b/>
                <w:bCs/>
                <w:sz w:val="21"/>
                <w:szCs w:val="21"/>
              </w:rPr>
              <w:t>公共频道《真相力量》</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作品字数</w:t>
            </w:r>
          </w:p>
          <w:p>
            <w:pPr>
              <w:spacing w:line="34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pacing w:val="-12"/>
                <w:sz w:val="21"/>
                <w:szCs w:val="21"/>
              </w:rPr>
              <w:t>（时长）</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8" w:hRule="exact"/>
        </w:trPr>
        <w:tc>
          <w:tcPr>
            <w:tcW w:w="1101" w:type="dxa"/>
            <w:gridSpan w:val="2"/>
            <w:vAlign w:val="center"/>
          </w:tcPr>
          <w:p>
            <w:pPr>
              <w:spacing w:line="34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w:t>
            </w:r>
          </w:p>
          <w:p>
            <w:pPr>
              <w:spacing w:line="34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采作</w:t>
            </w:r>
          </w:p>
          <w:p>
            <w:pPr>
              <w:spacing w:line="34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编品</w:t>
            </w:r>
          </w:p>
          <w:p>
            <w:pPr>
              <w:spacing w:line="34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过简</w:t>
            </w:r>
          </w:p>
          <w:p>
            <w:pPr>
              <w:spacing w:line="34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程介</w:t>
            </w:r>
          </w:p>
          <w:p>
            <w:pPr>
              <w:spacing w:line="34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w:t>
            </w:r>
          </w:p>
        </w:tc>
        <w:tc>
          <w:tcPr>
            <w:tcW w:w="8646" w:type="dxa"/>
            <w:gridSpan w:val="9"/>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2016年是我国推进供给侧结构性改革的攻坚之年。作为供给侧结构性改革的重要任务之一，处置“僵尸企业”尤为迫切又十分棘手，是全国性的难题。面对全省最大的“僵尸企业”——肥矿集团，山东没有走“输血”和破产的老路子，而是创新性地采取改革重组的路径，对资产、债务、人员进行全面改革重组，使企业实现浴火重生，整个过程平稳无震荡。它的成功处置，对国有企业改革、“僵尸企业”处置和去产能、去杠杆等都有很强</w:t>
            </w:r>
            <w:r>
              <w:rPr>
                <w:rFonts w:hint="eastAsia" w:asciiTheme="minorEastAsia" w:hAnsiTheme="minorEastAsia" w:eastAsiaTheme="minorEastAsia" w:cstheme="minorEastAsia"/>
                <w:b/>
                <w:bCs/>
                <w:color w:val="000000"/>
                <w:sz w:val="21"/>
                <w:szCs w:val="21"/>
                <w:lang w:val="en-US" w:eastAsia="zh-CN"/>
              </w:rPr>
              <w:t>的</w:t>
            </w:r>
            <w:r>
              <w:rPr>
                <w:rFonts w:hint="eastAsia" w:asciiTheme="minorEastAsia" w:hAnsiTheme="minorEastAsia" w:eastAsiaTheme="minorEastAsia" w:cstheme="minorEastAsia"/>
                <w:b/>
                <w:bCs/>
                <w:color w:val="000000"/>
                <w:sz w:val="21"/>
                <w:szCs w:val="21"/>
              </w:rPr>
              <w:t>借鉴意义，为全国提供了一个样板。记者敏锐地抓住这一重要线索，对企业、政府、银行、职工等各个方面进行了大量深入采访，对各种矛盾冲突和企业重生的过程进行了充分展示，制作出这篇独家深度经济报道。</w:t>
            </w:r>
          </w:p>
          <w:p>
            <w:pPr>
              <w:jc w:val="left"/>
              <w:rPr>
                <w:rFonts w:hint="eastAsia" w:asciiTheme="minorEastAsia" w:hAnsiTheme="minorEastAsia" w:eastAsiaTheme="minorEastAsia" w:cs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7" w:hRule="exact"/>
        </w:trPr>
        <w:tc>
          <w:tcPr>
            <w:tcW w:w="1101" w:type="dxa"/>
            <w:gridSpan w:val="2"/>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社</w:t>
            </w:r>
          </w:p>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会</w:t>
            </w:r>
          </w:p>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效</w:t>
            </w:r>
          </w:p>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果</w:t>
            </w:r>
          </w:p>
        </w:tc>
        <w:tc>
          <w:tcPr>
            <w:tcW w:w="8646" w:type="dxa"/>
            <w:gridSpan w:val="9"/>
            <w:tcBorders>
              <w:top w:val="single" w:color="auto" w:sz="4" w:space="0"/>
              <w:left w:val="single" w:color="auto" w:sz="4" w:space="0"/>
              <w:bottom w:val="single" w:color="auto" w:sz="4" w:space="0"/>
              <w:right w:val="single" w:color="auto" w:sz="4" w:space="0"/>
            </w:tcBorders>
          </w:tcPr>
          <w:p>
            <w:pPr>
              <w:ind w:firstLine="480" w:firstLineChars="200"/>
              <w:jc w:val="left"/>
              <w:rPr>
                <w:rFonts w:hint="eastAsia" w:asciiTheme="minorEastAsia" w:hAnsiTheme="minorEastAsia" w:eastAsiaTheme="minorEastAsia" w:cstheme="minorEastAsia"/>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该作品在电视播出，同时在闪电新闻客户端、齐鲁网推送，以融媒体形式呈现，受到企业、银行、政府等各界广泛好评，在社会上引起强烈反响。报道被大量转发，在改革攻坚的关键时期，彰显了主流媒体的声音和正能量。</w:t>
            </w:r>
          </w:p>
          <w:p>
            <w:pPr>
              <w:ind w:firstLine="560" w:firstLineChars="200"/>
              <w:jc w:val="left"/>
              <w:rPr>
                <w:rFonts w:hint="eastAsia" w:asciiTheme="minorEastAsia" w:hAnsiTheme="minorEastAsia" w:eastAsiaTheme="minorEastAsia" w:cs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8" w:hRule="exact"/>
        </w:trPr>
        <w:tc>
          <w:tcPr>
            <w:tcW w:w="1101" w:type="dxa"/>
            <w:gridSpan w:val="2"/>
            <w:vAlign w:val="center"/>
          </w:tcPr>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w:t>
            </w:r>
          </w:p>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初推</w:t>
            </w:r>
          </w:p>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评荐</w:t>
            </w:r>
          </w:p>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评理</w:t>
            </w:r>
          </w:p>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语由</w:t>
            </w:r>
          </w:p>
          <w:p>
            <w:pPr>
              <w:spacing w:line="38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w:t>
            </w:r>
          </w:p>
        </w:tc>
        <w:tc>
          <w:tcPr>
            <w:tcW w:w="8646" w:type="dxa"/>
            <w:gridSpan w:val="9"/>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480" w:firstLineChars="200"/>
              <w:jc w:val="left"/>
              <w:textAlignment w:val="auto"/>
              <w:outlineLvl w:val="9"/>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该作品题材重大。推进供给侧结构性改革，是以习近平同志为核心的党中央作出的重大理论创新和决策部署，是当下和今后一个时期我国经济治理的主线。作品紧紧抓住处置“僵尸企业”这一重大题材，以典型案例深入剖析，充分挖掘了各个方面、各个层次的利益诉求和矛盾冲突，深入展示了改革者通过大刀阔斧的改革推动企业重生的过程。</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480" w:firstLineChars="200"/>
              <w:jc w:val="left"/>
              <w:textAlignment w:val="auto"/>
              <w:outlineLvl w:val="9"/>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报道客观公正，层层递进，紧张曲折，细节生动，情节感人，采访真实，人物鲜活。作品以人物为轴线串联，谋篇布局巧妙，起承转合自然，镜头运用恰当，剪辑衔接流畅。</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480" w:firstLineChars="200"/>
              <w:jc w:val="left"/>
              <w:textAlignment w:val="auto"/>
              <w:outlineLvl w:val="9"/>
              <w:rPr>
                <w:rFonts w:hint="eastAsia" w:asciiTheme="minorEastAsia" w:hAnsiTheme="minorEastAsia" w:eastAsiaTheme="minorEastAsia" w:cstheme="minorEastAsia"/>
                <w:b/>
                <w:bCs/>
                <w:spacing w:val="-2"/>
                <w:sz w:val="21"/>
                <w:szCs w:val="21"/>
              </w:rPr>
            </w:pPr>
            <w:r>
              <w:rPr>
                <w:rFonts w:hint="eastAsia" w:asciiTheme="minorEastAsia" w:hAnsiTheme="minorEastAsia" w:eastAsiaTheme="minorEastAsia" w:cstheme="minorEastAsia"/>
                <w:b/>
                <w:bCs/>
                <w:spacing w:val="-2"/>
                <w:sz w:val="21"/>
                <w:szCs w:val="21"/>
              </w:rPr>
              <w:t>签名：</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5460" w:firstLineChars="195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（盖单位公章）</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center"/>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2017年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0" w:hRule="exact"/>
        </w:trPr>
        <w:tc>
          <w:tcPr>
            <w:tcW w:w="1551"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b/>
                <w:bCs/>
                <w:spacing w:val="-12"/>
                <w:sz w:val="21"/>
                <w:szCs w:val="21"/>
              </w:rPr>
            </w:pPr>
            <w:r>
              <w:rPr>
                <w:rFonts w:hint="eastAsia" w:asciiTheme="minorEastAsia" w:hAnsiTheme="minorEastAsia" w:eastAsiaTheme="minorEastAsia" w:cstheme="minorEastAsia"/>
                <w:b/>
                <w:bCs/>
                <w:spacing w:val="-12"/>
                <w:sz w:val="21"/>
                <w:szCs w:val="21"/>
              </w:rPr>
              <w:t>联系人(作者)</w:t>
            </w:r>
          </w:p>
        </w:tc>
        <w:tc>
          <w:tcPr>
            <w:tcW w:w="3235" w:type="dxa"/>
            <w:gridSpan w:val="3"/>
            <w:tcBorders>
              <w:top w:val="single" w:color="auto" w:sz="4" w:space="0"/>
              <w:left w:val="single" w:color="auto" w:sz="4" w:space="0"/>
              <w:bottom w:val="single" w:color="auto" w:sz="4" w:space="0"/>
              <w:right w:val="single" w:color="auto" w:sz="4" w:space="0"/>
            </w:tcBorders>
            <w:vAlign w:val="bottom"/>
          </w:tcPr>
          <w:p>
            <w:pPr>
              <w:ind w:firstLine="480" w:firstLineChars="200"/>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陈琛</w:t>
            </w: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手机</w:t>
            </w:r>
          </w:p>
        </w:tc>
        <w:tc>
          <w:tcPr>
            <w:tcW w:w="3969" w:type="dxa"/>
            <w:gridSpan w:val="4"/>
            <w:tcBorders>
              <w:top w:val="single" w:color="auto" w:sz="4" w:space="0"/>
              <w:left w:val="single" w:color="auto" w:sz="4" w:space="0"/>
              <w:bottom w:val="single" w:color="auto" w:sz="4" w:space="0"/>
              <w:right w:val="single" w:color="auto" w:sz="4" w:space="0"/>
            </w:tcBorders>
            <w:vAlign w:val="bottom"/>
          </w:tcPr>
          <w:p>
            <w:pPr>
              <w:ind w:firstLine="480" w:firstLineChars="200"/>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13969187515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exact"/>
        </w:trPr>
        <w:tc>
          <w:tcPr>
            <w:tcW w:w="1044" w:type="dxa"/>
            <w:tcBorders>
              <w:left w:val="single" w:color="auto" w:sz="4" w:space="0"/>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电话</w:t>
            </w:r>
          </w:p>
        </w:tc>
        <w:tc>
          <w:tcPr>
            <w:tcW w:w="2608" w:type="dxa"/>
            <w:gridSpan w:val="3"/>
            <w:tcBorders>
              <w:left w:val="single" w:color="auto" w:sz="4" w:space="0"/>
              <w:bottom w:val="single" w:color="auto" w:sz="4" w:space="0"/>
              <w:right w:val="single" w:color="auto" w:sz="4" w:space="0"/>
            </w:tcBorders>
            <w:vAlign w:val="bottom"/>
          </w:tcPr>
          <w:p>
            <w:pPr>
              <w:ind w:firstLine="480" w:firstLineChars="200"/>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0531-85852259</w:t>
            </w:r>
          </w:p>
        </w:tc>
        <w:tc>
          <w:tcPr>
            <w:tcW w:w="1134" w:type="dxa"/>
            <w:gridSpan w:val="2"/>
            <w:tcBorders>
              <w:left w:val="single" w:color="auto" w:sz="4" w:space="0"/>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E-mail</w:t>
            </w:r>
          </w:p>
        </w:tc>
        <w:tc>
          <w:tcPr>
            <w:tcW w:w="4961" w:type="dxa"/>
            <w:gridSpan w:val="5"/>
            <w:tcBorders>
              <w:left w:val="single" w:color="auto" w:sz="4" w:space="0"/>
              <w:bottom w:val="single" w:color="auto" w:sz="4" w:space="0"/>
              <w:right w:val="single" w:color="auto" w:sz="4" w:space="0"/>
            </w:tcBorders>
            <w:vAlign w:val="bottom"/>
          </w:tcPr>
          <w:p>
            <w:pPr>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467328985@qq.com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1" w:hRule="exact"/>
        </w:trPr>
        <w:tc>
          <w:tcPr>
            <w:tcW w:w="1044" w:type="dxa"/>
            <w:tcBorders>
              <w:left w:val="single" w:color="auto" w:sz="4" w:space="0"/>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sz w:val="21"/>
                <w:szCs w:val="21"/>
              </w:rPr>
              <w:t>地址</w:t>
            </w:r>
          </w:p>
        </w:tc>
        <w:tc>
          <w:tcPr>
            <w:tcW w:w="4734" w:type="dxa"/>
            <w:gridSpan w:val="6"/>
            <w:tcBorders>
              <w:left w:val="single" w:color="auto" w:sz="4" w:space="0"/>
              <w:bottom w:val="single" w:color="auto" w:sz="4" w:space="0"/>
              <w:right w:val="single" w:color="auto" w:sz="4" w:space="0"/>
            </w:tcBorders>
            <w:vAlign w:val="bottom"/>
          </w:tcPr>
          <w:p>
            <w:pPr>
              <w:ind w:firstLine="480" w:firstLineChars="200"/>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山东省济南市经十路18567号</w:t>
            </w:r>
          </w:p>
        </w:tc>
        <w:tc>
          <w:tcPr>
            <w:tcW w:w="993" w:type="dxa"/>
            <w:gridSpan w:val="2"/>
            <w:tcBorders>
              <w:left w:val="single" w:color="auto" w:sz="4" w:space="0"/>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sz w:val="21"/>
                <w:szCs w:val="21"/>
              </w:rPr>
              <w:t>邮编</w:t>
            </w:r>
          </w:p>
        </w:tc>
        <w:tc>
          <w:tcPr>
            <w:tcW w:w="2976" w:type="dxa"/>
            <w:gridSpan w:val="2"/>
            <w:tcBorders>
              <w:left w:val="single" w:color="auto" w:sz="4" w:space="0"/>
              <w:bottom w:val="single" w:color="auto" w:sz="4" w:space="0"/>
              <w:right w:val="single" w:color="auto" w:sz="4" w:space="0"/>
            </w:tcBorders>
            <w:vAlign w:val="bottom"/>
          </w:tcPr>
          <w:p>
            <w:pPr>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250062</w:t>
            </w:r>
          </w:p>
        </w:tc>
      </w:tr>
    </w:tbl>
    <w:p>
      <w:pPr>
        <w:spacing w:line="300" w:lineRule="exact"/>
        <w:rPr>
          <w:rFonts w:ascii="仿宋_GB2312" w:hAnsi="宋体" w:eastAsia="仿宋_GB2312"/>
          <w:sz w:val="33"/>
          <w:szCs w:val="33"/>
        </w:rPr>
      </w:pPr>
    </w:p>
    <w:p>
      <w:pPr>
        <w:spacing w:line="300" w:lineRule="exact"/>
        <w:rPr>
          <w:rFonts w:ascii="仿宋_GB2312" w:hAnsi="宋体" w:eastAsia="仿宋_GB2312"/>
          <w:sz w:val="33"/>
          <w:szCs w:val="33"/>
        </w:rPr>
      </w:pPr>
    </w:p>
    <w:p>
      <w:pPr>
        <w:spacing w:beforeLines="50" w:afterLines="50" w:line="500" w:lineRule="exact"/>
        <w:ind w:firstLine="721" w:firstLineChars="200"/>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“僵尸企业”重生记</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【片头】</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演播室】近年来，随着我国经济发展进入新常态，在煤炭、钢铁等产能严重过剩的行业和领域，出现了一些连年亏损、资不抵债的企业。这些有名无实的“僵尸企业”占用各类资源却不产生效益，急需进行处置。这项工作也因此成为我国推进供给侧结构性改革和去产能的重要任务之一。但由于债务多、矛盾多、包袱重，处置“僵尸企业”成了全国性的难题，稍有不慎就容易引发社会不稳定，还会留下各种后患。就在十几天前，山东最大的“僵尸企业”——肥矿集团平稳完成改革重组任务，他们是怎么做到的呢？</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【黑起入现场】</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【解说】这是记者今年初在肥矿集团看到的场景：小小的信访室里挤满了火急火燎的上访群众，职工抱怨连连。</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【同期声】山东能源肥矿集团白庄煤矿职工：“欠工资欠得咱也闹不清了。”</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【同期声】山东能源肥矿集团白庄煤矿职工：“工资开不下来，俺怎么吃饭呢？你说这个样！”</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【同期声】山东能源肥矿集团白庄煤矿职工：“整个矿务局都不行，它负担太累了，负担不起来了这个矿。整个矿务局成了一片僵尸似的。”</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究竟是什么原因，让这个曾经辉煌一时的国有企业走到了今天这个地步呢？肥矿集团始建于1958年，是山东能源集团全资子公司。在煤炭鼎盛时期，这里是人人羡慕的好单位，一人一把锨，月月七八千。然而，到了2012年，煤炭市场一片萧条，煤炭价格出现断崖式下跌，全国煤炭企业的日子一下子都不好过了，而这时的肥矿已经撑不住了。原来，在煤炭黄金期，肥矿集团连上3对矿井、8个电厂、2个铝厂，又在全国兼并多个小煤矿，就在这些项目刚要投产的节骨眼上，市场却不行了，从此欠下一屁股债。</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【同期声】山东能源肥矿集团财务总监薛允华：“举债上项目，项目又没有很好得到回报，所以造成一个恶性循环，所以造成它率先资不抵债了。”</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薛允华，2015年5月走马上任肥矿集团财务总监。让她没有想到的是，面对的竟是这样一个烂摊子：资产负债率高达150%，贷款总额近140亿元，职工10个月以上发不出工资。摸清家底后薛允华才明白，自己担任的是一个“僵尸企业”的财务管家。</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【同期声】山东能源肥矿集团财务总监薛允华：“当时肥矿集团的状况非常困难，用一句话说就是贫困交加。”</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【解说】眼瞅着一大家人吃不上饭，薛允华四处筹钱，第一个向母公司求助。山东能源集团紧急采取“输血”措施，接连“输血”40个亿，可这也难以为继。</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【同期声】山东能源集团董事长李位民：“特别是在继续‘输血’的情况下，也使肥矿仅吊着一口气在那生存。”</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【同期声】山东省国资委副主任邵泽武：“但是，两到三年以后，肥矿又恢复到原来的样子，又不行了。”</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为挽救病入膏肓的企业，薛允华和班子成员想尽了办法，也琢磨着从全国类似企业找点经验，可除了破产，他们似乎也没有更好的做法。按照《企业破产法》，肥矿完全符合破产清算的条件，然而，这个方案还没露头，薛允华就被银行堵上了门。</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【同期声】山东能源肥矿集团财务总监薛允华：“所有帐户都封了，每天都有银行来，每天都有债权单位来要账。”</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【同期声】记者：“各个银行都来找您，当时您在这里面是不是特别为难？”</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【同期声】山东能源肥矿集团财务总监薛允华：“哭过，也委屈过，也怨过。”</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【解说】此时的她已是焦头烂额，而银行也急了眼。肥矿集团共涉及10家银行99.51亿元的债权，如果破产清算，清偿率只有20%，100亿就缩水变成了20亿，本金都不保，从上到下都得追责。</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【同期声】中国农业银行山东省分行行长益虎：“那个债权我们损失可能是超过80%，实际的资产不到20%，那这损失相当巨大。”</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【解说】百亿债务引发的恐慌很快从10家债权银行传导到和能源集团有资金往来的全部24家银行。一时间，整个山东的金融界都绷紧了弦！</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【同期声】山东能源集团董事长李位民：“24家银行在整个山东能源集团所拥有的存量贷款是1000多个亿。如果说所有的债权银行要同时对能源集团采取一定措施的话，那后果就不堪设想。”</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银监局副局长解晓非：“如果肥矿的问题处理不好，它就会波及到山东能源集团其他企业的一些问题，导致整个的金融生态发生巨变。这样的话，对山东经济发展产生的这种负面效应，应该说是不可估量的。”</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【解说】而薛允华和同事面对的压力远不止这些，她还有一个更大的担心。</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【同期声】山东能源肥矿集团财务总监薛允华：“要是（算上）职工家属的话，就有10万人在这个区域当中。一旦企业破了产，这10万人生活没有了依靠，将会是个什么状况？会引发整个社会不稳定！”</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【解说】就在肥矿走投无路的时候，国家陆续出台一系列去产能和“僵尸企业”出清的政策，这让薛允华看到了一线曙光。</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【同期声】山东能源肥矿集团财务总监薛允华：“2016年2月份国家出台煤炭去产能的政策以后，我觉得是让肥矿看到了一线生机。”</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借助国家政策，山东省政府痛下决心彻底解决肥矿问题，并作为去产能、去杠杆和“僵尸企业”出清的试点来抓。在政府部门撮合下，剑拔弩张的银行和企业回到了谈判桌。但20多轮谈判下来，大家还是各不相让，不欢而散。</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【同期声】中国农业银行山东省分行行长益虎：“能源集团那个家伙他死活不干。他们先摔的，他摔了一个，我说你摔一个，我们也得摔一个，两个杯子。”</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【同期声】山东能源肥矿集团财务总监薛允华：“摔杯子是正常的，双方就差相互骂人了。”</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【解说】眼看谈判陷入了僵局，薛允华左右为难，竭力撮合，又将各方拉回了谈判桌。这一次，大家少了争吵，相互多了一份理解。</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【同期声】中国建设银行山东省分行风险管理部高级经理魏宝：“既要维护银行利益，又不能把企业累死，把企业累死不是我们想要的，目的是救活企业，少损失。”</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一个方案一个方案地捋，一笔账一笔账地算，各方逐渐达成一个共识，就是对肥矿集团的资产进行拆分，将可持续经营的3处煤矿，也就是50多亿元的优质资产剥离出来组建新的肥矿煤业有限公司，其余归老公司。然而，银行又有一个担心，公司养着这么多职工，能保证偿债能力吗？每个公司究竟核定多少人、分担多少比例的债务呢？围绕这些细节，大家又吵得不可开交。</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【解说】破解债务谈判僵局，必须来一场人员的自我革命。改革重组前，肥矿在册职工1.4万人，按照现有煤炭产量，经过和债权人委员会协商，新、老公司定编定员8000多人。这就意味着有6000多人必须走人。</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【同期声】山东能源肥矿集团董事长朱立新：“如果不分兵突围，那么我们会在这一条船上沉没。”</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到底谁走谁不走，怎么分流呢？肥矿将所有人员封存身份，全体重新竞争上岗，按岗位选人。王耕峰一家三代几十口人一直在白庄矿区生活工作，已经习惯了这里的一草一木，突然面临下岗，一时间不知何去何从。</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【同期声】记者：“当时让你离开你是什么心情？”</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【同期声】原肥矿集团白庄煤矿职工王耕峰：“怎么说呢？在这里习惯了，上哪去啊？从小就在这儿长大的，确实对这个地方有感情，从一毕业就在这儿工作，结婚生孩子都在这里。”</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【解说】和王耕峰一样，在电力公司工作了23年的常焕，在竞争上岗中也下岗了。因为新岗位需要的是电力线路检修工人，她虽然是老文艺骨干，也代表企业拿过不少奖，却无力胜任这份新工作。</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【同期声】原肥矿集团电力公司职工常焕：“这么多年了，一直在这个大院里面，觉得就像家一样。突然换了另一个地方，不在这儿的时候心里真的是很伤心，真的是很难过！”</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【解说】为让职工转过思想上的弯，解开心里的结，肥矿发动党员干部下沉基层一线，主动开展疏导。</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【同期声】肥矿集团供电部综合办主任张光锐：“耐心细致地把现在企业经营现状以及现在的岗位需求给她深入地进行了分析，把她心里这个结解开了。就是说现在公司没有空余岗位来允许照顾某一个人。”</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企业努力，政府给力。省政府给予25亿元贴息贷款作为专项资金，并出台7条政策和一揽子方案，目的只有一个，帮助肥矿平稳分流安置职工。有了政策和资金保障，肥矿把招聘会请到了家门口，又建立双创中心，转岗培训，引导创业，敞开9条渠道同时分流。</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【解说】肥矿自我革命的消息很快传到了谈判桌，又给银行增加了一份信心。</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【同期声】山东省国资委副主任邵泽武：“各个方面的积极性都调动起来了，大家形成了一个共同的目标，这个目标就是怎么把肥矿的资产盘活，怎么保证肥矿集团的持续发展。”</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经过41次艰难谈判，各方最终达成一致：肥矿新公司遵循“资可抵债”的原则，承接50%债务；老公司通过部分优质股权和盘活闲置资产，承担30%债务；山东能源集团担当20%债务，形成5：3：2的债务重组方案。在还款保证上，能源集团给新公司担保，新公司给老公司担保。而银行对3家公司都给予利率优惠，对老公司的利率直接降到0.6%，这样的力度在业界前所未有。</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【同期声】山东能源肥矿集团财务总监薛允华：“这个新公司的年盈利能力在2个亿，现金流能实现4.8亿，能很好地持续发展。老公司这个债8年之内不还款（本金），前8年它光还利息。”</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【同期声】中国建设银行山东省分行风险管理部高级经理魏宝：“在未来几年，我们银行业将少收山东能源、肥矿新老公司将近20亿元利息，目的就是把新公司‘扶上马、送一程’。”</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集团董事长李位民：“使银行本金没有任何损失，只是在利息上以结息的方式为企业做了让利，保证了我们改革重组后的新公司能够实现持续的盈利、持续的发展。这是一个非常典型的以时间来换取空间的发展之路。”</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【解说】12月13日，山东能源集团、肥矿集团、肥矿煤业、债权银行四方债务协议全部签订完毕，标志着山东最大的“僵尸企业”债务重组宣告完成。薛允华悬着的心也终于落了地。</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【同期声】山东能源肥矿集团财务总监薛允华：“应该说，这样就能救活了一个企业，保障了一方平安。”</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【解说】前几天，记者前去肥矿集团采访时又见到了经过免费培训后重新上岗的王耕峰。</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【同期声】记者：“你现在具体做什么工作？”</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【同期声】原肥矿集团白庄煤矿职工王耕峰：“做月嫂，就是护理母婴，叫母婴护理师。”</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【同期声】记者：“这块收入怎么样？”</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【同期声】原肥矿集团白庄煤矿职工王耕峰：“要是正常的话也行，一个月3000来块钱。”</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【解说】常焕最终选择自主创业，办起了舞蹈班。6000多人的分流安置已接近尾声，而在职职工的工资也陆续恢复发放。一个新的肥矿正在重生！</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【同期声】山东省省长郭树清：“肥矿集团改革重组，对山东的国有企业，特别是产能过剩行业，都有很强的借鉴意义。”</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eastAsia="宋体" w:cs="宋体"/>
          <w:b/>
          <w:bCs/>
          <w:sz w:val="21"/>
          <w:szCs w:val="21"/>
        </w:rPr>
      </w:pPr>
      <w:r>
        <w:rPr>
          <w:rFonts w:hint="eastAsia" w:ascii="宋体" w:hAnsi="宋体" w:eastAsia="宋体" w:cs="宋体"/>
          <w:b/>
          <w:bCs/>
          <w:sz w:val="21"/>
          <w:szCs w:val="21"/>
        </w:rPr>
        <w:t>【黑场出字幕】历时10个月，肥矿集团全面完成债务、资产、人员改革重组。至此，山东最大的“僵尸企业”处置尘埃落定，整个过程平稳无震荡。在“输血”和破产之外，山东趟出了一条改革重组的新路子，这在全国还是首创。</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ascii="仿宋_GB2312" w:hAnsi="宋体" w:eastAsia="仿宋_GB2312"/>
          <w:sz w:val="33"/>
          <w:szCs w:val="33"/>
        </w:rPr>
      </w:pPr>
      <w:bookmarkStart w:id="0" w:name="_GoBack"/>
      <w:bookmarkEnd w:id="0"/>
    </w:p>
    <w:sectPr>
      <w:headerReference r:id="rId3" w:type="default"/>
      <w:footerReference r:id="rId5" w:type="default"/>
      <w:headerReference r:id="rId4" w:type="even"/>
      <w:footerReference r:id="rId6" w:type="even"/>
      <w:pgSz w:w="11906" w:h="16838"/>
      <w:pgMar w:top="1440" w:right="1247" w:bottom="1440" w:left="1247"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华文仿宋">
    <w:panose1 w:val="02010600040101010101"/>
    <w:charset w:val="50"/>
    <w:family w:val="auto"/>
    <w:pitch w:val="default"/>
    <w:sig w:usb0="00000287" w:usb1="080F0000" w:usb2="00000000" w:usb3="00000000" w:csb0="0004009F" w:csb1="DFD70000"/>
  </w:font>
  <w:font w:name="华文中宋">
    <w:panose1 w:val="02010600040101010101"/>
    <w:charset w:val="50"/>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50"/>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50"/>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9316" w:y="-17"/>
      <w:rPr>
        <w:rStyle w:val="17"/>
        <w:sz w:val="28"/>
      </w:rPr>
    </w:pPr>
    <w:r>
      <w:rPr>
        <w:rStyle w:val="17"/>
        <w:rFonts w:hint="eastAsia"/>
        <w:sz w:val="28"/>
      </w:rPr>
      <w:t>—</w:t>
    </w:r>
    <w:r>
      <w:rPr>
        <w:rStyle w:val="17"/>
        <w:sz w:val="28"/>
      </w:rPr>
      <w:t xml:space="preserve"> </w:t>
    </w:r>
    <w:r>
      <w:rPr>
        <w:sz w:val="28"/>
      </w:rPr>
      <w:fldChar w:fldCharType="begin"/>
    </w:r>
    <w:r>
      <w:rPr>
        <w:rStyle w:val="17"/>
        <w:sz w:val="28"/>
      </w:rPr>
      <w:instrText xml:space="preserve">PAGE  </w:instrText>
    </w:r>
    <w:r>
      <w:rPr>
        <w:sz w:val="28"/>
      </w:rPr>
      <w:fldChar w:fldCharType="separate"/>
    </w:r>
    <w:r>
      <w:rPr>
        <w:rStyle w:val="17"/>
        <w:sz w:val="28"/>
      </w:rPr>
      <w:t>1</w:t>
    </w:r>
    <w:r>
      <w:rPr>
        <w:sz w:val="28"/>
      </w:rPr>
      <w:fldChar w:fldCharType="end"/>
    </w:r>
    <w:r>
      <w:rPr>
        <w:rStyle w:val="17"/>
        <w:sz w:val="28"/>
      </w:rPr>
      <w:t xml:space="preserve"> </w:t>
    </w:r>
    <w:r>
      <w:rPr>
        <w:rStyle w:val="17"/>
        <w:rFonts w:hint="eastAsia"/>
        <w:sz w:val="28"/>
      </w:rPr>
      <w:t>—</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1651" w:y="28"/>
      <w:rPr>
        <w:rStyle w:val="17"/>
        <w:sz w:val="28"/>
      </w:rPr>
    </w:pPr>
    <w:r>
      <w:rPr>
        <w:rStyle w:val="17"/>
        <w:rFonts w:hint="eastAsia"/>
        <w:sz w:val="28"/>
      </w:rPr>
      <w:t>—</w:t>
    </w:r>
    <w:r>
      <w:rPr>
        <w:rStyle w:val="17"/>
        <w:sz w:val="28"/>
      </w:rPr>
      <w:t xml:space="preserve"> </w:t>
    </w:r>
    <w:r>
      <w:rPr>
        <w:sz w:val="28"/>
      </w:rPr>
      <w:fldChar w:fldCharType="begin"/>
    </w:r>
    <w:r>
      <w:rPr>
        <w:rStyle w:val="17"/>
        <w:sz w:val="28"/>
      </w:rPr>
      <w:instrText xml:space="preserve">PAGE  </w:instrText>
    </w:r>
    <w:r>
      <w:rPr>
        <w:sz w:val="28"/>
      </w:rPr>
      <w:fldChar w:fldCharType="separate"/>
    </w:r>
    <w:r>
      <w:rPr>
        <w:rStyle w:val="17"/>
        <w:sz w:val="28"/>
      </w:rPr>
      <w:t>2</w:t>
    </w:r>
    <w:r>
      <w:rPr>
        <w:sz w:val="28"/>
      </w:rPr>
      <w:fldChar w:fldCharType="end"/>
    </w:r>
    <w:r>
      <w:rPr>
        <w:rStyle w:val="17"/>
        <w:sz w:val="28"/>
      </w:rPr>
      <w:t xml:space="preserve"> </w:t>
    </w:r>
    <w:r>
      <w:rPr>
        <w:rStyle w:val="17"/>
        <w:rFonts w:hint="eastAsia"/>
        <w:sz w:val="28"/>
      </w:rPr>
      <w:t>—</w:t>
    </w:r>
  </w:p>
  <w:p>
    <w:pPr>
      <w:pStyle w:val="1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D2"/>
    <w:rsid w:val="00014634"/>
    <w:rsid w:val="00026827"/>
    <w:rsid w:val="00032DE2"/>
    <w:rsid w:val="000865DC"/>
    <w:rsid w:val="000A675C"/>
    <w:rsid w:val="000B06C1"/>
    <w:rsid w:val="000B2E36"/>
    <w:rsid w:val="000B5EDA"/>
    <w:rsid w:val="000C14B6"/>
    <w:rsid w:val="000C5CFA"/>
    <w:rsid w:val="000C79E8"/>
    <w:rsid w:val="000D458A"/>
    <w:rsid w:val="000E39FD"/>
    <w:rsid w:val="000F56BE"/>
    <w:rsid w:val="000F6FA2"/>
    <w:rsid w:val="00120B33"/>
    <w:rsid w:val="0012508F"/>
    <w:rsid w:val="00136357"/>
    <w:rsid w:val="001419AF"/>
    <w:rsid w:val="00156B48"/>
    <w:rsid w:val="00157B43"/>
    <w:rsid w:val="001644C5"/>
    <w:rsid w:val="00190C9E"/>
    <w:rsid w:val="001A1326"/>
    <w:rsid w:val="001A360A"/>
    <w:rsid w:val="001A4738"/>
    <w:rsid w:val="001C5117"/>
    <w:rsid w:val="001D3548"/>
    <w:rsid w:val="001D752F"/>
    <w:rsid w:val="001E7B31"/>
    <w:rsid w:val="001F251F"/>
    <w:rsid w:val="001F4897"/>
    <w:rsid w:val="001F54EF"/>
    <w:rsid w:val="00201891"/>
    <w:rsid w:val="00201EEE"/>
    <w:rsid w:val="0020481A"/>
    <w:rsid w:val="00205129"/>
    <w:rsid w:val="0021645E"/>
    <w:rsid w:val="00217B24"/>
    <w:rsid w:val="002269C8"/>
    <w:rsid w:val="00230A7C"/>
    <w:rsid w:val="00231986"/>
    <w:rsid w:val="00245861"/>
    <w:rsid w:val="00246BCE"/>
    <w:rsid w:val="002540C0"/>
    <w:rsid w:val="002562FA"/>
    <w:rsid w:val="00264693"/>
    <w:rsid w:val="00266465"/>
    <w:rsid w:val="00274689"/>
    <w:rsid w:val="00274873"/>
    <w:rsid w:val="00287A4B"/>
    <w:rsid w:val="0029702A"/>
    <w:rsid w:val="00297B5B"/>
    <w:rsid w:val="002A424F"/>
    <w:rsid w:val="002A5873"/>
    <w:rsid w:val="002A6ED6"/>
    <w:rsid w:val="002A7935"/>
    <w:rsid w:val="002B124E"/>
    <w:rsid w:val="002B3381"/>
    <w:rsid w:val="002C50FC"/>
    <w:rsid w:val="002F0923"/>
    <w:rsid w:val="002F0B5C"/>
    <w:rsid w:val="002F6622"/>
    <w:rsid w:val="00312E87"/>
    <w:rsid w:val="0031790E"/>
    <w:rsid w:val="003316C3"/>
    <w:rsid w:val="00333DEA"/>
    <w:rsid w:val="00356AB5"/>
    <w:rsid w:val="00365487"/>
    <w:rsid w:val="003655A5"/>
    <w:rsid w:val="00366FF2"/>
    <w:rsid w:val="00381993"/>
    <w:rsid w:val="00383392"/>
    <w:rsid w:val="0039107F"/>
    <w:rsid w:val="003A0D22"/>
    <w:rsid w:val="003A4D46"/>
    <w:rsid w:val="003C7668"/>
    <w:rsid w:val="003E36FB"/>
    <w:rsid w:val="003E383E"/>
    <w:rsid w:val="003E7566"/>
    <w:rsid w:val="003F0D97"/>
    <w:rsid w:val="003F2BA4"/>
    <w:rsid w:val="003F7D28"/>
    <w:rsid w:val="004014E1"/>
    <w:rsid w:val="00405001"/>
    <w:rsid w:val="004117D0"/>
    <w:rsid w:val="00414DBB"/>
    <w:rsid w:val="0041705E"/>
    <w:rsid w:val="00424E68"/>
    <w:rsid w:val="004258F9"/>
    <w:rsid w:val="004261EF"/>
    <w:rsid w:val="00451DFF"/>
    <w:rsid w:val="0045225B"/>
    <w:rsid w:val="004710D4"/>
    <w:rsid w:val="00477B6B"/>
    <w:rsid w:val="004823D1"/>
    <w:rsid w:val="004901D1"/>
    <w:rsid w:val="004909D2"/>
    <w:rsid w:val="00497902"/>
    <w:rsid w:val="004B3049"/>
    <w:rsid w:val="004B31FB"/>
    <w:rsid w:val="004C2342"/>
    <w:rsid w:val="004C3EDC"/>
    <w:rsid w:val="004F6CF4"/>
    <w:rsid w:val="005041B2"/>
    <w:rsid w:val="00513214"/>
    <w:rsid w:val="005162D6"/>
    <w:rsid w:val="00524D68"/>
    <w:rsid w:val="0052745C"/>
    <w:rsid w:val="005339D1"/>
    <w:rsid w:val="005428BD"/>
    <w:rsid w:val="005609B5"/>
    <w:rsid w:val="00560D7C"/>
    <w:rsid w:val="005921C0"/>
    <w:rsid w:val="0059283D"/>
    <w:rsid w:val="005950E4"/>
    <w:rsid w:val="00595A1D"/>
    <w:rsid w:val="005A1E32"/>
    <w:rsid w:val="005B3B60"/>
    <w:rsid w:val="005C19F8"/>
    <w:rsid w:val="005D0679"/>
    <w:rsid w:val="005D2D33"/>
    <w:rsid w:val="005E2DCD"/>
    <w:rsid w:val="005E5A2D"/>
    <w:rsid w:val="006111DD"/>
    <w:rsid w:val="00614DEB"/>
    <w:rsid w:val="006158B7"/>
    <w:rsid w:val="00633254"/>
    <w:rsid w:val="00635712"/>
    <w:rsid w:val="00672665"/>
    <w:rsid w:val="00674905"/>
    <w:rsid w:val="0067574C"/>
    <w:rsid w:val="006770AE"/>
    <w:rsid w:val="006816C9"/>
    <w:rsid w:val="00683CBE"/>
    <w:rsid w:val="00686AB0"/>
    <w:rsid w:val="00686F38"/>
    <w:rsid w:val="0069204B"/>
    <w:rsid w:val="00693823"/>
    <w:rsid w:val="006A0496"/>
    <w:rsid w:val="006A521C"/>
    <w:rsid w:val="006B51BB"/>
    <w:rsid w:val="006C0BF8"/>
    <w:rsid w:val="006D637F"/>
    <w:rsid w:val="006E3142"/>
    <w:rsid w:val="006E7997"/>
    <w:rsid w:val="006E7C60"/>
    <w:rsid w:val="006F46E9"/>
    <w:rsid w:val="007058BC"/>
    <w:rsid w:val="00707323"/>
    <w:rsid w:val="007140B5"/>
    <w:rsid w:val="007262FF"/>
    <w:rsid w:val="0074170D"/>
    <w:rsid w:val="00743FC6"/>
    <w:rsid w:val="00751A2C"/>
    <w:rsid w:val="00760286"/>
    <w:rsid w:val="00761E64"/>
    <w:rsid w:val="00764638"/>
    <w:rsid w:val="007654BE"/>
    <w:rsid w:val="00767834"/>
    <w:rsid w:val="00774B94"/>
    <w:rsid w:val="0077580E"/>
    <w:rsid w:val="007767F2"/>
    <w:rsid w:val="007875CB"/>
    <w:rsid w:val="00795B45"/>
    <w:rsid w:val="007A0CA7"/>
    <w:rsid w:val="007B4DA2"/>
    <w:rsid w:val="007B5125"/>
    <w:rsid w:val="007C5249"/>
    <w:rsid w:val="008028E9"/>
    <w:rsid w:val="00807B48"/>
    <w:rsid w:val="00825503"/>
    <w:rsid w:val="008407C5"/>
    <w:rsid w:val="0085157F"/>
    <w:rsid w:val="008764DA"/>
    <w:rsid w:val="008824FE"/>
    <w:rsid w:val="00892B8F"/>
    <w:rsid w:val="0089665A"/>
    <w:rsid w:val="008A4679"/>
    <w:rsid w:val="008B1551"/>
    <w:rsid w:val="008B29E7"/>
    <w:rsid w:val="008B39D0"/>
    <w:rsid w:val="008C51C1"/>
    <w:rsid w:val="008C5B35"/>
    <w:rsid w:val="008D5C0B"/>
    <w:rsid w:val="008F3862"/>
    <w:rsid w:val="008F47AE"/>
    <w:rsid w:val="008F618E"/>
    <w:rsid w:val="00913DEE"/>
    <w:rsid w:val="00914353"/>
    <w:rsid w:val="009157B7"/>
    <w:rsid w:val="00921CDA"/>
    <w:rsid w:val="009332F6"/>
    <w:rsid w:val="0093416E"/>
    <w:rsid w:val="00936865"/>
    <w:rsid w:val="00936F33"/>
    <w:rsid w:val="00937520"/>
    <w:rsid w:val="00950138"/>
    <w:rsid w:val="00950B4F"/>
    <w:rsid w:val="00962336"/>
    <w:rsid w:val="00962A26"/>
    <w:rsid w:val="00964FD1"/>
    <w:rsid w:val="00965126"/>
    <w:rsid w:val="009658D6"/>
    <w:rsid w:val="00980E64"/>
    <w:rsid w:val="0099131E"/>
    <w:rsid w:val="0099414C"/>
    <w:rsid w:val="009A1F4F"/>
    <w:rsid w:val="009B05FE"/>
    <w:rsid w:val="009B4542"/>
    <w:rsid w:val="009B4FB1"/>
    <w:rsid w:val="009B7980"/>
    <w:rsid w:val="009C281F"/>
    <w:rsid w:val="009F2AE8"/>
    <w:rsid w:val="009F5AB1"/>
    <w:rsid w:val="00A33EC3"/>
    <w:rsid w:val="00A454B5"/>
    <w:rsid w:val="00A575B3"/>
    <w:rsid w:val="00A57CB4"/>
    <w:rsid w:val="00A64A84"/>
    <w:rsid w:val="00A65D23"/>
    <w:rsid w:val="00A66855"/>
    <w:rsid w:val="00A74A89"/>
    <w:rsid w:val="00A75ADA"/>
    <w:rsid w:val="00A76112"/>
    <w:rsid w:val="00A90890"/>
    <w:rsid w:val="00AB10EC"/>
    <w:rsid w:val="00AB32D6"/>
    <w:rsid w:val="00AC2003"/>
    <w:rsid w:val="00AD10C9"/>
    <w:rsid w:val="00AD1DB4"/>
    <w:rsid w:val="00AE2CD4"/>
    <w:rsid w:val="00AF63A0"/>
    <w:rsid w:val="00B060A3"/>
    <w:rsid w:val="00B25811"/>
    <w:rsid w:val="00B2781A"/>
    <w:rsid w:val="00B40DE3"/>
    <w:rsid w:val="00B47267"/>
    <w:rsid w:val="00B51037"/>
    <w:rsid w:val="00B53F09"/>
    <w:rsid w:val="00B57B8F"/>
    <w:rsid w:val="00B60060"/>
    <w:rsid w:val="00B673DD"/>
    <w:rsid w:val="00B676C7"/>
    <w:rsid w:val="00B7383E"/>
    <w:rsid w:val="00B808D9"/>
    <w:rsid w:val="00B81076"/>
    <w:rsid w:val="00B91C8F"/>
    <w:rsid w:val="00B97243"/>
    <w:rsid w:val="00BB00C5"/>
    <w:rsid w:val="00BD3DE1"/>
    <w:rsid w:val="00BE14F4"/>
    <w:rsid w:val="00BF27FC"/>
    <w:rsid w:val="00BF730B"/>
    <w:rsid w:val="00C16C76"/>
    <w:rsid w:val="00C3106B"/>
    <w:rsid w:val="00C31576"/>
    <w:rsid w:val="00C33182"/>
    <w:rsid w:val="00C34A4F"/>
    <w:rsid w:val="00C62CF0"/>
    <w:rsid w:val="00C70351"/>
    <w:rsid w:val="00C72727"/>
    <w:rsid w:val="00C84AC1"/>
    <w:rsid w:val="00C90193"/>
    <w:rsid w:val="00C918F7"/>
    <w:rsid w:val="00CB3D9B"/>
    <w:rsid w:val="00CD3D74"/>
    <w:rsid w:val="00CD7CC5"/>
    <w:rsid w:val="00CE0E21"/>
    <w:rsid w:val="00CE59D4"/>
    <w:rsid w:val="00D06B14"/>
    <w:rsid w:val="00D155E4"/>
    <w:rsid w:val="00D20EF0"/>
    <w:rsid w:val="00D26783"/>
    <w:rsid w:val="00D3213D"/>
    <w:rsid w:val="00D33267"/>
    <w:rsid w:val="00D3554F"/>
    <w:rsid w:val="00D54BF0"/>
    <w:rsid w:val="00D57A44"/>
    <w:rsid w:val="00D602E0"/>
    <w:rsid w:val="00D77EAA"/>
    <w:rsid w:val="00D844DE"/>
    <w:rsid w:val="00D84887"/>
    <w:rsid w:val="00D850D9"/>
    <w:rsid w:val="00DC164F"/>
    <w:rsid w:val="00DC4332"/>
    <w:rsid w:val="00DC6D9E"/>
    <w:rsid w:val="00DC7AD4"/>
    <w:rsid w:val="00DD02B0"/>
    <w:rsid w:val="00DD10CF"/>
    <w:rsid w:val="00DE747C"/>
    <w:rsid w:val="00E02EC0"/>
    <w:rsid w:val="00E12FF9"/>
    <w:rsid w:val="00E13668"/>
    <w:rsid w:val="00E3248F"/>
    <w:rsid w:val="00E54167"/>
    <w:rsid w:val="00E55F24"/>
    <w:rsid w:val="00E86AE2"/>
    <w:rsid w:val="00E94F66"/>
    <w:rsid w:val="00E95FD7"/>
    <w:rsid w:val="00EB79D2"/>
    <w:rsid w:val="00EC1CCB"/>
    <w:rsid w:val="00EC20AE"/>
    <w:rsid w:val="00ED135D"/>
    <w:rsid w:val="00ED4CEE"/>
    <w:rsid w:val="00EF0ECC"/>
    <w:rsid w:val="00EF2EAE"/>
    <w:rsid w:val="00F028A9"/>
    <w:rsid w:val="00F11A65"/>
    <w:rsid w:val="00F1447D"/>
    <w:rsid w:val="00F225E9"/>
    <w:rsid w:val="00F272FF"/>
    <w:rsid w:val="00F3145C"/>
    <w:rsid w:val="00F43346"/>
    <w:rsid w:val="00F43F52"/>
    <w:rsid w:val="00F476B1"/>
    <w:rsid w:val="00F60349"/>
    <w:rsid w:val="00F635ED"/>
    <w:rsid w:val="00F661EA"/>
    <w:rsid w:val="00F84018"/>
    <w:rsid w:val="00F84C3C"/>
    <w:rsid w:val="00F9017C"/>
    <w:rsid w:val="00F924BE"/>
    <w:rsid w:val="00F92EAF"/>
    <w:rsid w:val="00FA1CED"/>
    <w:rsid w:val="00FA220A"/>
    <w:rsid w:val="00FA23B2"/>
    <w:rsid w:val="00FB278F"/>
    <w:rsid w:val="00FC758D"/>
    <w:rsid w:val="00FD43A9"/>
    <w:rsid w:val="00FD4ED5"/>
    <w:rsid w:val="00FF1515"/>
    <w:rsid w:val="080147D2"/>
    <w:rsid w:val="106D5789"/>
    <w:rsid w:val="1B757E0F"/>
    <w:rsid w:val="1BCE0AEA"/>
    <w:rsid w:val="1FCA6778"/>
    <w:rsid w:val="20114BB9"/>
    <w:rsid w:val="21D842EC"/>
    <w:rsid w:val="2CD71FB2"/>
    <w:rsid w:val="4EA605F3"/>
    <w:rsid w:val="5214618A"/>
    <w:rsid w:val="76C35698"/>
    <w:rsid w:val="7BA46288"/>
    <w:rsid w:val="7BAE3E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0"/>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9"/>
    <w:qFormat/>
    <w:uiPriority w:val="0"/>
    <w:rPr>
      <w:b/>
      <w:bCs/>
    </w:rPr>
  </w:style>
  <w:style w:type="paragraph" w:styleId="6">
    <w:name w:val="annotation text"/>
    <w:basedOn w:val="1"/>
    <w:link w:val="24"/>
    <w:qFormat/>
    <w:uiPriority w:val="0"/>
    <w:pPr>
      <w:jc w:val="left"/>
    </w:pPr>
    <w:rPr>
      <w:szCs w:val="24"/>
    </w:rPr>
  </w:style>
  <w:style w:type="paragraph" w:styleId="7">
    <w:name w:val="Body Text 3"/>
    <w:basedOn w:val="1"/>
    <w:link w:val="32"/>
    <w:unhideWhenUsed/>
    <w:qFormat/>
    <w:uiPriority w:val="99"/>
    <w:pPr>
      <w:spacing w:after="120"/>
    </w:pPr>
    <w:rPr>
      <w:sz w:val="16"/>
      <w:szCs w:val="16"/>
    </w:rPr>
  </w:style>
  <w:style w:type="paragraph" w:styleId="8">
    <w:name w:val="Body Text"/>
    <w:basedOn w:val="1"/>
    <w:link w:val="23"/>
    <w:qFormat/>
    <w:uiPriority w:val="0"/>
    <w:pPr>
      <w:spacing w:after="120"/>
    </w:pPr>
    <w:rPr>
      <w:szCs w:val="24"/>
    </w:rPr>
  </w:style>
  <w:style w:type="paragraph" w:styleId="9">
    <w:name w:val="Body Text Indent"/>
    <w:basedOn w:val="1"/>
    <w:qFormat/>
    <w:uiPriority w:val="0"/>
    <w:pPr>
      <w:ind w:firstLine="600" w:firstLineChars="200"/>
    </w:pPr>
    <w:rPr>
      <w:rFonts w:ascii="仿宋_GB2312" w:eastAsia="仿宋_GB2312"/>
      <w:sz w:val="30"/>
    </w:rPr>
  </w:style>
  <w:style w:type="paragraph" w:styleId="10">
    <w:name w:val="Date"/>
    <w:basedOn w:val="1"/>
    <w:next w:val="1"/>
    <w:link w:val="21"/>
    <w:qFormat/>
    <w:uiPriority w:val="0"/>
    <w:pPr>
      <w:ind w:left="100" w:leftChars="2500"/>
    </w:pPr>
  </w:style>
  <w:style w:type="paragraph" w:styleId="11">
    <w:name w:val="Body Text Indent 2"/>
    <w:basedOn w:val="1"/>
    <w:link w:val="25"/>
    <w:qFormat/>
    <w:uiPriority w:val="0"/>
    <w:pPr>
      <w:spacing w:line="480" w:lineRule="exact"/>
      <w:ind w:firstLine="570"/>
      <w:jc w:val="left"/>
    </w:pPr>
    <w:rPr>
      <w:sz w:val="28"/>
      <w:szCs w:val="24"/>
    </w:rPr>
  </w:style>
  <w:style w:type="paragraph" w:styleId="12">
    <w:name w:val="Balloon Text"/>
    <w:basedOn w:val="1"/>
    <w:link w:val="27"/>
    <w:qFormat/>
    <w:uiPriority w:val="0"/>
    <w:rPr>
      <w:sz w:val="18"/>
      <w:szCs w:val="18"/>
    </w:rPr>
  </w:style>
  <w:style w:type="paragraph" w:styleId="13">
    <w:name w:val="footer"/>
    <w:basedOn w:val="1"/>
    <w:link w:val="28"/>
    <w:qFormat/>
    <w:uiPriority w:val="99"/>
    <w:pPr>
      <w:tabs>
        <w:tab w:val="center" w:pos="4153"/>
        <w:tab w:val="right" w:pos="8306"/>
      </w:tabs>
      <w:snapToGrid w:val="0"/>
      <w:jc w:val="left"/>
    </w:pPr>
    <w:rPr>
      <w:sz w:val="18"/>
    </w:rPr>
  </w:style>
  <w:style w:type="paragraph" w:styleId="14">
    <w:name w:val="header"/>
    <w:basedOn w:val="1"/>
    <w:link w:val="33"/>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7">
    <w:name w:val="page number"/>
    <w:basedOn w:val="16"/>
    <w:qFormat/>
    <w:uiPriority w:val="0"/>
  </w:style>
  <w:style w:type="character" w:styleId="18">
    <w:name w:val="Hyperlink"/>
    <w:unhideWhenUsed/>
    <w:qFormat/>
    <w:uiPriority w:val="99"/>
    <w:rPr>
      <w:color w:val="0000FF"/>
      <w:u w:val="single"/>
    </w:rPr>
  </w:style>
  <w:style w:type="character" w:styleId="19">
    <w:name w:val="annotation reference"/>
    <w:qFormat/>
    <w:uiPriority w:val="0"/>
    <w:rPr>
      <w:sz w:val="21"/>
      <w:szCs w:val="21"/>
    </w:rPr>
  </w:style>
  <w:style w:type="character" w:customStyle="1" w:styleId="21">
    <w:name w:val="日期字符"/>
    <w:link w:val="10"/>
    <w:qFormat/>
    <w:uiPriority w:val="0"/>
    <w:rPr>
      <w:kern w:val="2"/>
      <w:sz w:val="21"/>
    </w:rPr>
  </w:style>
  <w:style w:type="character" w:customStyle="1" w:styleId="22">
    <w:name w:val="中等深浅列表 1 - 强调文字颜色 61"/>
    <w:qFormat/>
    <w:uiPriority w:val="19"/>
    <w:rPr>
      <w:i/>
      <w:iCs/>
      <w:color w:val="808080"/>
    </w:rPr>
  </w:style>
  <w:style w:type="character" w:customStyle="1" w:styleId="23">
    <w:name w:val="正文文本字符"/>
    <w:link w:val="8"/>
    <w:qFormat/>
    <w:uiPriority w:val="0"/>
    <w:rPr>
      <w:kern w:val="2"/>
      <w:sz w:val="21"/>
      <w:szCs w:val="24"/>
    </w:rPr>
  </w:style>
  <w:style w:type="character" w:customStyle="1" w:styleId="24">
    <w:name w:val="注释文本字符"/>
    <w:link w:val="6"/>
    <w:qFormat/>
    <w:uiPriority w:val="0"/>
    <w:rPr>
      <w:kern w:val="2"/>
      <w:sz w:val="21"/>
      <w:szCs w:val="24"/>
    </w:rPr>
  </w:style>
  <w:style w:type="character" w:customStyle="1" w:styleId="25">
    <w:name w:val="正文文本缩进 2字符"/>
    <w:link w:val="11"/>
    <w:qFormat/>
    <w:uiPriority w:val="0"/>
    <w:rPr>
      <w:kern w:val="2"/>
      <w:sz w:val="28"/>
      <w:szCs w:val="24"/>
    </w:rPr>
  </w:style>
  <w:style w:type="character" w:customStyle="1" w:styleId="26">
    <w:name w:val="标题 1字符"/>
    <w:link w:val="2"/>
    <w:qFormat/>
    <w:uiPriority w:val="9"/>
    <w:rPr>
      <w:b/>
      <w:bCs/>
      <w:kern w:val="44"/>
      <w:sz w:val="44"/>
      <w:szCs w:val="44"/>
    </w:rPr>
  </w:style>
  <w:style w:type="character" w:customStyle="1" w:styleId="27">
    <w:name w:val="批注框文本字符"/>
    <w:link w:val="12"/>
    <w:qFormat/>
    <w:uiPriority w:val="0"/>
    <w:rPr>
      <w:kern w:val="2"/>
      <w:sz w:val="18"/>
      <w:szCs w:val="18"/>
    </w:rPr>
  </w:style>
  <w:style w:type="character" w:customStyle="1" w:styleId="28">
    <w:name w:val="页脚字符"/>
    <w:link w:val="13"/>
    <w:qFormat/>
    <w:uiPriority w:val="99"/>
    <w:rPr>
      <w:kern w:val="2"/>
      <w:sz w:val="18"/>
    </w:rPr>
  </w:style>
  <w:style w:type="character" w:customStyle="1" w:styleId="29">
    <w:name w:val="批注主题字符"/>
    <w:link w:val="5"/>
    <w:qFormat/>
    <w:uiPriority w:val="0"/>
    <w:rPr>
      <w:b/>
      <w:bCs/>
      <w:kern w:val="2"/>
      <w:sz w:val="21"/>
      <w:szCs w:val="24"/>
    </w:rPr>
  </w:style>
  <w:style w:type="character" w:customStyle="1" w:styleId="30">
    <w:name w:val="标题 3字符"/>
    <w:link w:val="4"/>
    <w:qFormat/>
    <w:uiPriority w:val="9"/>
    <w:rPr>
      <w:b/>
      <w:bCs/>
      <w:kern w:val="2"/>
      <w:sz w:val="32"/>
      <w:szCs w:val="32"/>
    </w:rPr>
  </w:style>
  <w:style w:type="character" w:customStyle="1" w:styleId="31">
    <w:name w:val="标题 2字符"/>
    <w:link w:val="3"/>
    <w:qFormat/>
    <w:uiPriority w:val="9"/>
    <w:rPr>
      <w:rFonts w:ascii="Cambria" w:hAnsi="Cambria"/>
      <w:b/>
      <w:bCs/>
      <w:kern w:val="2"/>
      <w:sz w:val="32"/>
      <w:szCs w:val="32"/>
    </w:rPr>
  </w:style>
  <w:style w:type="character" w:customStyle="1" w:styleId="32">
    <w:name w:val="正文文本 3字符"/>
    <w:link w:val="7"/>
    <w:qFormat/>
    <w:uiPriority w:val="99"/>
    <w:rPr>
      <w:kern w:val="2"/>
      <w:sz w:val="16"/>
      <w:szCs w:val="16"/>
    </w:rPr>
  </w:style>
  <w:style w:type="character" w:customStyle="1" w:styleId="33">
    <w:name w:val="页眉字符"/>
    <w:link w:val="14"/>
    <w:qFormat/>
    <w:uiPriority w:val="0"/>
    <w:rPr>
      <w:kern w:val="2"/>
      <w:sz w:val="18"/>
    </w:rPr>
  </w:style>
  <w:style w:type="paragraph" w:customStyle="1" w:styleId="34">
    <w:name w:val="纯文本1"/>
    <w:basedOn w:val="1"/>
    <w:qFormat/>
    <w:uiPriority w:val="0"/>
    <w:pPr>
      <w:adjustRightInd w:val="0"/>
      <w:textAlignment w:val="baseline"/>
    </w:pPr>
    <w:rPr>
      <w:rFonts w:ascii="宋体" w:hAnsi="Courier New"/>
    </w:rPr>
  </w:style>
  <w:style w:type="paragraph" w:customStyle="1" w:styleId="35">
    <w:name w:val="_Style 15"/>
    <w:basedOn w:val="1"/>
    <w:qFormat/>
    <w:uiPriority w:val="0"/>
    <w:rPr>
      <w:rFonts w:ascii="仿宋_GB2312" w:eastAsia="仿宋_GB2312"/>
      <w:b/>
      <w:sz w:val="32"/>
      <w:szCs w:val="32"/>
    </w:rPr>
  </w:style>
  <w:style w:type="paragraph" w:customStyle="1" w:styleId="36">
    <w:name w:val="彩色底纹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Company>
  <Pages>2</Pages>
  <Words>152</Words>
  <Characters>869</Characters>
  <Lines>7</Lines>
  <Paragraphs>2</Paragraphs>
  <ScaleCrop>false</ScaleCrop>
  <LinksUpToDate>false</LinksUpToDate>
  <CharactersWithSpaces>1019</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2017-05-02T01:20:00Z</dcterms:created>
  <dc:creator>中国记协台港澳部</dc:creator>
  <cp:lastModifiedBy>lenovo</cp:lastModifiedBy>
  <cp:lastPrinted>2017-05-02T01:39:00Z</cp:lastPrinted>
  <dcterms:modified xsi:type="dcterms:W3CDTF">2017-05-11T01:37:35Z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